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b w:val="1"/>
          <w:sz w:val="36"/>
          <w:vertAlign w:val="baseline"/>
          <w:rtl w:val="0"/>
        </w:rPr>
        <w:t xml:space="preserve">Unit Planning Guide: Grade 4 Unit 2 of 10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Unit Title: Understanding literature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Pacing (Duration of Unit): 3 weeks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Grade: 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Buffer Day(s):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2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e5b8b7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4"/>
                <w:vertAlign w:val="baseline"/>
                <w:rtl w:val="0"/>
              </w:rPr>
              <w:t xml:space="preserve">Desired Results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3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Transfer Goals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color w:val="000000"/>
                <w:sz w:val="20"/>
                <w:vertAlign w:val="baseline"/>
                <w:rtl w:val="0"/>
              </w:rPr>
              <w:t xml:space="preserve">Students will be able to independently use their learning to: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Understand the power of words and images to transform lives and provide insight into the experiences of others and understanding of cultures and historical periods.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Read and comprehend a range of increasingly complex texts and media written for various audiences and purposes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Generate open-ended questions and seek answers through critical analysis of text, media, interviews, and/or observations.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writing to suit a particular audience and purpose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discourse and oral presentations to suit various audiences and purposes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Expand their vocabulary and knowledge of English conventions in order to learn and convey precise understandings of concepts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Develop the habit of reading for enjoyment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72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4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Established Goals (2011 MA Curriculum Frameworks Standards Incorporating the Common Core State Standards)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5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1195"/>
        <w:gridCol w:w="3421"/>
      </w:tblGrid>
      <w:tr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Standards (Priority Standards in bold):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color w:val="000000"/>
                <w:sz w:val="18"/>
                <w:vertAlign w:val="baseline"/>
                <w:rtl w:val="0"/>
              </w:rPr>
              <w:t xml:space="preserve">W4.9   Draw evidence from literary or informational text to support analysis, reflection and research. 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b w:val="1"/>
                <w:color w:val="000000"/>
                <w:sz w:val="18"/>
                <w:vertAlign w:val="baseline"/>
                <w:rtl w:val="0"/>
              </w:rPr>
              <w:t xml:space="preserve">Apply grade 4 Reading Standards to literature (e.g., RL 4.3)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b w:val="1"/>
                <w:color w:val="000000"/>
                <w:sz w:val="18"/>
                <w:vertAlign w:val="baseline"/>
                <w:rtl w:val="0"/>
              </w:rPr>
              <w:t xml:space="preserve">Apply grade 4 Reading Standards to informational text (e.g., RI 4.2)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color w:val="000000"/>
                <w:sz w:val="18"/>
                <w:vertAlign w:val="baseline"/>
                <w:rtl w:val="0"/>
              </w:rPr>
              <w:t xml:space="preserve">RL4.1   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Refer to details and examples in a text when explaining what the text says explicitly and </w:t>
            </w:r>
            <w:r w:rsidRPr="00000000" w:rsidR="00000000" w:rsidDel="00000000">
              <w:rPr>
                <w:b w:val="1"/>
                <w:sz w:val="18"/>
                <w:u w:val="single"/>
                <w:vertAlign w:val="baseline"/>
                <w:rtl w:val="0"/>
              </w:rPr>
              <w:t xml:space="preserve">when drawing inferences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 from the text. </w:t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color w:val="000000"/>
                <w:sz w:val="18"/>
                <w:vertAlign w:val="baseline"/>
                <w:rtl w:val="0"/>
              </w:rPr>
              <w:t xml:space="preserve">RI4.2  Determine the main idea of a text and explain how it is supported by key details; </w:t>
            </w:r>
            <w:r w:rsidRPr="00000000" w:rsidR="00000000" w:rsidDel="00000000">
              <w:rPr>
                <w:color w:val="000000"/>
                <w:sz w:val="18"/>
                <w:u w:val="single"/>
                <w:vertAlign w:val="baseline"/>
                <w:rtl w:val="0"/>
              </w:rPr>
              <w:t xml:space="preserve">summarize the text</w:t>
            </w:r>
            <w:r w:rsidRPr="00000000" w:rsidR="00000000" w:rsidDel="00000000">
              <w:rPr>
                <w:b w:val="1"/>
                <w:color w:val="000000"/>
                <w:sz w:val="18"/>
                <w:vertAlign w:val="baseline"/>
                <w:rtl w:val="0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color w:val="000000"/>
                <w:sz w:val="18"/>
                <w:vertAlign w:val="baseline"/>
                <w:rtl w:val="0"/>
              </w:rPr>
              <w:t xml:space="preserve">SL4.1    Engage effectively in a range of collaborative discussions (one-on-one, in groups, and teacher-led) with diverse partners on grade 4 topics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color w:val="000000"/>
                <w:sz w:val="18"/>
                <w:vertAlign w:val="baseline"/>
                <w:rtl w:val="0"/>
              </w:rPr>
              <w:t xml:space="preserve">              and texts, building on others’ ideas and expressing their own clearly.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360" w:hanging="359"/>
              <w:contextualSpacing w:val="0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RF4.3 Know and apply grade-level phonics and word analysis skills in decoding words.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720" w:hanging="359"/>
              <w:contextualSpacing w:val="0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a.</w:t>
              <w:tab/>
              <w:t xml:space="preserve">Use combined knowledge of all letter-sound correspondences, syllabication patterns, and morphology (e.g., roots and affixes) to read accurately unfamiliar multisyllabic words in context and out of context.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RL.4.4 Determine the meaning of words and phrases as they are used in texts, including those that allude to significant characters found in mythology (e.g. Herculean)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360" w:hanging="359"/>
              <w:contextualSpacing w:val="0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RF4.4 Read with sufficient accuracy and fluency to support comprehension.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720" w:hanging="359"/>
              <w:contextualSpacing w:val="0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a.</w:t>
              <w:tab/>
              <w:t xml:space="preserve">Read grade-level text with purpose and understanding.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720" w:hanging="359"/>
              <w:contextualSpacing w:val="0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b.</w:t>
              <w:tab/>
              <w:t xml:space="preserve">Read grade-level prose and poetry orally with accuracy, appropriate rate, and expression on successive readings.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c.</w:t>
              <w:tab/>
              <w:t xml:space="preserve">Use context to confirm or self-correct word recognition and understanding, rereading as necessary.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color w:val="000000"/>
                <w:sz w:val="18"/>
                <w:vertAlign w:val="baseline"/>
                <w:rtl w:val="0"/>
              </w:rPr>
              <w:t xml:space="preserve">L4.1   Demonstrate command of the conventions of standard English grammar and usage when writing or speaking.</w:t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L4.1d Order adjectives within sentence according to conventional patterns. </w:t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L4.1e Form and use prepositional phrases. </w:t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color w:val="000000"/>
                <w:sz w:val="18"/>
                <w:vertAlign w:val="baseline"/>
                <w:rtl w:val="0"/>
              </w:rPr>
              <w:t xml:space="preserve">L4.2 Demonstrate command of the conventions of standard English, capitalization, punctuation and spelling when writing.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color w:val="000000"/>
                <w:sz w:val="18"/>
                <w:vertAlign w:val="baseline"/>
                <w:rtl w:val="0"/>
              </w:rPr>
              <w:t xml:space="preserve">L4.2 a Use correct capitalization</w:t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L.4.2c Use s common before coordinating conjunction in a compound sentence</w:t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L.4.2d Spell grade-appropriate words correctly, consulting references as needed. </w:t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color w:val="000000"/>
                <w:sz w:val="18"/>
                <w:vertAlign w:val="baseline"/>
                <w:rtl w:val="0"/>
              </w:rPr>
              <w:t xml:space="preserve">L4.MA.1h   Write legibly by hand, using either printing or cursive handwriting.</w:t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L.4.4 Determine or clarify the meaning of unknown and multiple-meaning words and phrases based on grade four reading and content, choosing flexibly from a range of strategies. </w:t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L.4.a Use context as a clue to the meaning of a word or phrase. </w:t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L.4.b Use common grade-appropriate Greek and Latin affixes and roots as clues to the meaning of a word. </w:t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color w:val="000000"/>
                <w:sz w:val="18"/>
                <w:vertAlign w:val="baseline"/>
                <w:rtl w:val="0"/>
              </w:rPr>
              <w:t xml:space="preserve">SL.4.1a Come to discussions prepared, having read or studied required material; explicitly draw on that</w:t>
            </w:r>
            <w:r w:rsidRPr="00000000" w:rsidR="00000000" w:rsidDel="00000000">
              <w:rPr>
                <w:color w:val="000000"/>
                <w:sz w:val="24"/>
                <w:vertAlign w:val="baseline"/>
                <w:rtl w:val="0"/>
              </w:rPr>
              <w:t xml:space="preserve"> </w:t>
            </w:r>
            <w:r w:rsidRPr="00000000" w:rsidR="00000000" w:rsidDel="00000000">
              <w:rPr>
                <w:color w:val="000000"/>
                <w:sz w:val="18"/>
                <w:vertAlign w:val="baseline"/>
                <w:rtl w:val="0"/>
              </w:rPr>
              <w:t xml:space="preserve">preparation and other information known  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color w:val="000000"/>
                <w:sz w:val="18"/>
                <w:vertAlign w:val="baseline"/>
                <w:rtl w:val="0"/>
              </w:rPr>
              <w:t xml:space="preserve">           about the topic to explore ideas under discussion.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color w:val="000000"/>
                <w:sz w:val="18"/>
                <w:vertAlign w:val="baseline"/>
                <w:rtl w:val="0"/>
              </w:rPr>
              <w:t xml:space="preserve">SL.4.1b Follow agreed-upon rules for discussions and carry out assigned roles.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8db3e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2" w:line="240" w:before="2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WIDA Standards (ELL)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WIDA for English Language Learners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Standard 1: ELLs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communicate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 for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Social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and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Instructional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purposes within the school setting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Standard 2:  ELLs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communicate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information, ideas and concepts necessary for academic success in the content area of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Language Arts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2" w:line="240" w:before="2"/>
              <w:ind w:left="325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6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Meaning (*Mostly assessed through Performance Tasks/Assessments)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7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348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0"/>
                <w:vertAlign w:val="baseline"/>
                <w:rtl w:val="0"/>
              </w:rPr>
              <w:t xml:space="preserve">Big Ideas:</w:t>
            </w: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 (Statements and concepts written in teacher friendly language which reflect the important [but not obvious] generalizations we want students to be able to arrive at. These are used by the teacher to focus daily instruction.)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tabs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450" w:hanging="44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Effective written responses to text include evidence from the text, inferences,    as well as knowledge gained from images, charts, etc.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           imaginary experiences through the use of details and clear sequencing.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180" w:hanging="17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When readers read literature deeply, they understand and empathize with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           characters through their thoughts, actions, and words.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color w:val="000000"/>
                <w:sz w:val="20"/>
                <w:vertAlign w:val="baseline"/>
                <w:rtl w:val="0"/>
              </w:rPr>
              <w:t xml:space="preserve">   Through engagement in respectful discourse with our peers, we  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color w:val="000000"/>
                <w:sz w:val="20"/>
                <w:vertAlign w:val="baseline"/>
                <w:rtl w:val="0"/>
              </w:rPr>
              <w:t xml:space="preserve">   communicate our understanding as well as refine our thinking based on  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color w:val="000000"/>
                <w:sz w:val="20"/>
                <w:vertAlign w:val="baseline"/>
                <w:rtl w:val="0"/>
              </w:rPr>
              <w:t xml:space="preserve">   others’ ideas.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0"/>
                <w:vertAlign w:val="baseline"/>
                <w:rtl w:val="0"/>
              </w:rPr>
              <w:t xml:space="preserve">Essential Questions: </w:t>
            </w: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(Questions which frame ongoing and important inquires about the big ideas. They are written for students and used in daily instruction to help engage students in meaningful thinking.)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How does literature help us understand ourselves and others?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How does an author invite you in to a work of literature? How do you get to 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           know the characters, the setting and the situation?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Why is it important to have evidence to support a claim?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color w:val="000000"/>
                <w:sz w:val="20"/>
                <w:vertAlign w:val="baseline"/>
                <w:rtl w:val="0"/>
              </w:rPr>
              <w:t xml:space="preserve">   How does engaging in thoughtful discourse help you as a reader and writer?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8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Acquisition (*Mostly assessed through traditional summative assessments)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432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Knowledge: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Key basic concepts, facts, and key terms (written in phrases) students should be able to recall independently.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Students will know …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Literal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versus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inferred evidence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How to identify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evidence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to support their analysis of a character.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The story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elements of literature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: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characters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,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setting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and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events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That a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summary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is a brief statement of the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main ideas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and significant details.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The standard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conventions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of English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grammar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Rules for thoughtful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discourse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in the classroom and online.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Skills: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The discrete skills and process students should be able to use independently (</w:t>
            </w:r>
            <w:r w:rsidRPr="00000000" w:rsidR="00000000" w:rsidDel="00000000">
              <w:rPr>
                <w:sz w:val="20"/>
                <w:u w:val="single"/>
                <w:vertAlign w:val="baseline"/>
                <w:rtl w:val="0"/>
              </w:rPr>
              <w:t xml:space="preserve">Bloom’s Level of Learning should be noted in parentheses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Students will be skilled at: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Describing characters from literature using literal and inferred evidence from the text. </w:t>
            </w:r>
            <w:r w:rsidRPr="00000000" w:rsidR="00000000" w:rsidDel="00000000">
              <w:rPr>
                <w:rFonts w:cs="Calibri" w:hAnsi="Calibri" w:eastAsia="Calibri" w:ascii="Calibri"/>
                <w:i w:val="1"/>
                <w:sz w:val="20"/>
                <w:vertAlign w:val="baseline"/>
                <w:rtl w:val="0"/>
              </w:rPr>
              <w:t xml:space="preserve">(understanding)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Engaging in thoughtful discourse with peers in a teacher led environment. </w:t>
            </w:r>
            <w:r w:rsidRPr="00000000" w:rsidR="00000000" w:rsidDel="00000000">
              <w:rPr>
                <w:rFonts w:cs="Calibri" w:hAnsi="Calibri" w:eastAsia="Calibri" w:ascii="Calibri"/>
                <w:i w:val="1"/>
                <w:sz w:val="20"/>
                <w:vertAlign w:val="baseline"/>
                <w:rtl w:val="0"/>
              </w:rPr>
              <w:t xml:space="preserve">(evaluating)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Writing responses to text that use evidence from the story to support their character analysis. </w:t>
            </w:r>
            <w:r w:rsidRPr="00000000" w:rsidR="00000000" w:rsidDel="00000000">
              <w:rPr>
                <w:rFonts w:cs="Calibri" w:hAnsi="Calibri" w:eastAsia="Calibri" w:ascii="Calibri"/>
                <w:i w:val="1"/>
                <w:sz w:val="20"/>
                <w:vertAlign w:val="baseline"/>
                <w:rtl w:val="0"/>
              </w:rPr>
              <w:t xml:space="preserve">(creating)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sectPr>
      <w:footerReference r:id="rId5" w:type="default"/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right" w:pos="14400"/>
      </w:tabs>
      <w:spacing w:lineRule="auto" w:after="0" w:line="240" w:before="0"/>
      <w:ind w:left="0" w:firstLine="0"/>
      <w:contextualSpacing w:val="0"/>
    </w:pPr>
    <w:r w:rsidRPr="00000000" w:rsidR="00000000" w:rsidDel="00000000">
      <w:rPr>
        <w:rFonts w:cs="Cambria" w:hAnsi="Cambria" w:eastAsia="Cambria" w:ascii="Cambria"/>
        <w:sz w:val="20"/>
        <w:vertAlign w:val="baseline"/>
        <w:rtl w:val="0"/>
      </w:rPr>
      <w:tab/>
      <w:t xml:space="preserve">Page </w:t>
    </w:r>
    <w:fldSimple w:dirty="0" w:instr="PAGE" w:fldLock="0">
      <w:r w:rsidRPr="00000000" w:rsidR="00000000" w:rsidDel="00000000">
        <w:rPr>
          <w:rFonts w:cs="Cambria" w:hAnsi="Cambria" w:eastAsia="Cambria" w:ascii="Cambria"/>
          <w:sz w:val="20"/>
          <w:vertAlign w:val="baseline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spacing w:lineRule="auto" w:after="0" w:line="240" w:before="0"/>
      <w:ind w:left="0" w:firstLine="0"/>
      <w:contextualSpacing w:val="0"/>
    </w:pP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0"/>
      <w:numFmt w:val="bullet"/>
      <w:lvlText w:val="○"/>
      <w:lvlJc w:val="left"/>
      <w:pPr>
        <w:ind w:left="0" w:firstLine="0"/>
      </w:pPr>
      <w:rPr>
        <w:rFonts w:cs="Arial" w:hAnsi="Arial" w:eastAsia="Arial" w:ascii="Arial"/>
        <w:vertAlign w:val="baseline"/>
      </w:rPr>
    </w:lvl>
    <w:lvl w:ilvl="2">
      <w:start w:val="0"/>
      <w:numFmt w:val="bullet"/>
      <w:lvlText w:val="■"/>
      <w:lvlJc w:val="left"/>
      <w:pPr>
        <w:ind w:left="0" w:firstLine="0"/>
      </w:pPr>
      <w:rPr>
        <w:rFonts w:cs="Arial" w:hAnsi="Arial" w:eastAsia="Arial" w:ascii="Arial"/>
        <w:vertAlign w:val="baseline"/>
      </w:rPr>
    </w:lvl>
    <w:lvl w:ilvl="3">
      <w:start w:val="0"/>
      <w:numFmt w:val="bullet"/>
      <w:lvlText w:val="●"/>
      <w:lvlJc w:val="left"/>
      <w:pPr>
        <w:ind w:left="0" w:firstLine="0"/>
      </w:pPr>
      <w:rPr>
        <w:rFonts w:cs="Arial" w:hAnsi="Arial" w:eastAsia="Arial" w:ascii="Arial"/>
        <w:vertAlign w:val="baseline"/>
      </w:rPr>
    </w:lvl>
    <w:lvl w:ilvl="4">
      <w:start w:val="0"/>
      <w:numFmt w:val="bullet"/>
      <w:lvlText w:val="○"/>
      <w:lvlJc w:val="left"/>
      <w:pPr>
        <w:ind w:left="0" w:firstLine="0"/>
      </w:pPr>
      <w:rPr>
        <w:rFonts w:cs="Arial" w:hAnsi="Arial" w:eastAsia="Arial" w:ascii="Arial"/>
        <w:vertAlign w:val="baseline"/>
      </w:rPr>
    </w:lvl>
    <w:lvl w:ilvl="5">
      <w:start w:val="0"/>
      <w:numFmt w:val="bullet"/>
      <w:lvlText w:val="■"/>
      <w:lvlJc w:val="left"/>
      <w:pPr>
        <w:ind w:left="0" w:firstLine="0"/>
      </w:pPr>
      <w:rPr>
        <w:rFonts w:cs="Arial" w:hAnsi="Arial" w:eastAsia="Arial" w:ascii="Arial"/>
        <w:vertAlign w:val="baseline"/>
      </w:rPr>
    </w:lvl>
    <w:lvl w:ilvl="6">
      <w:start w:val="0"/>
      <w:numFmt w:val="bullet"/>
      <w:lvlText w:val="●"/>
      <w:lvlJc w:val="left"/>
      <w:pPr>
        <w:ind w:left="0" w:firstLine="0"/>
      </w:pPr>
      <w:rPr>
        <w:rFonts w:cs="Arial" w:hAnsi="Arial" w:eastAsia="Arial" w:ascii="Arial"/>
        <w:vertAlign w:val="baseline"/>
      </w:rPr>
    </w:lvl>
    <w:lvl w:ilvl="7">
      <w:start w:val="0"/>
      <w:numFmt w:val="bullet"/>
      <w:lvlText w:val="○"/>
      <w:lvlJc w:val="left"/>
      <w:pPr>
        <w:ind w:left="0" w:firstLine="0"/>
      </w:pPr>
      <w:rPr>
        <w:rFonts w:cs="Arial" w:hAnsi="Arial" w:eastAsia="Arial" w:ascii="Arial"/>
        <w:vertAlign w:val="baseline"/>
      </w:rPr>
    </w:lvl>
    <w:lvl w:ilvl="8">
      <w:start w:val="0"/>
      <w:numFmt w:val="bullet"/>
      <w:lvlText w:val="■"/>
      <w:lvlJc w:val="left"/>
      <w:pPr>
        <w:ind w:left="0" w:firstLine="0"/>
      </w:pPr>
      <w:rPr>
        <w:rFonts w:cs="Arial" w:hAnsi="Arial" w:eastAsia="Arial" w:ascii="Arial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cs="Arial" w:hAnsi="Arial" w:eastAsia="Arial" w:ascii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cs="Arial" w:hAnsi="Arial" w:eastAsia="Arial" w:ascii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cs="Arial" w:hAnsi="Arial" w:eastAsia="Arial" w:ascii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sz w:val="20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abstractNum w:abstractNumId="6">
    <w:lvl w:ilvl="0">
      <w:start w:val="1"/>
      <w:numFmt w:val="lowerLetter"/>
      <w:lvlText w:val="%1."/>
      <w:lvlJc w:val="left"/>
      <w:pPr>
        <w:ind w:left="880" w:firstLine="520"/>
      </w:pPr>
      <w:rPr>
        <w:rFonts w:cs="Arial" w:hAnsi="Arial" w:eastAsia="Arial" w:ascii="Arial"/>
        <w:vertAlign w:val="baseline"/>
      </w:rPr>
    </w:lvl>
    <w:lvl w:ilvl="1">
      <w:start w:val="1"/>
      <w:numFmt w:val="lowerLetter"/>
      <w:lvlText w:val="%2."/>
      <w:lvlJc w:val="left"/>
      <w:pPr>
        <w:ind w:left="1600" w:firstLine="1240"/>
      </w:pPr>
      <w:rPr>
        <w:rFonts w:cs="Arial" w:hAnsi="Arial" w:eastAsia="Arial" w:ascii="Arial"/>
        <w:vertAlign w:val="baseline"/>
      </w:rPr>
    </w:lvl>
    <w:lvl w:ilvl="2">
      <w:start w:val="1"/>
      <w:numFmt w:val="lowerRoman"/>
      <w:lvlText w:val="%3."/>
      <w:lvlJc w:val="right"/>
      <w:pPr>
        <w:ind w:left="2320" w:firstLine="2140"/>
      </w:pPr>
      <w:rPr>
        <w:rFonts w:cs="Arial" w:hAnsi="Arial" w:eastAsia="Arial" w:ascii="Arial"/>
        <w:vertAlign w:val="baseline"/>
      </w:rPr>
    </w:lvl>
    <w:lvl w:ilvl="3">
      <w:start w:val="1"/>
      <w:numFmt w:val="decimal"/>
      <w:lvlText w:val="%4."/>
      <w:lvlJc w:val="left"/>
      <w:pPr>
        <w:ind w:left="3040" w:firstLine="2680"/>
      </w:pPr>
      <w:rPr>
        <w:rFonts w:cs="Arial" w:hAnsi="Arial" w:eastAsia="Arial" w:ascii="Arial"/>
        <w:vertAlign w:val="baseline"/>
      </w:rPr>
    </w:lvl>
    <w:lvl w:ilvl="4">
      <w:start w:val="1"/>
      <w:numFmt w:val="lowerLetter"/>
      <w:lvlText w:val="%5."/>
      <w:lvlJc w:val="left"/>
      <w:pPr>
        <w:ind w:left="3760" w:firstLine="3400"/>
      </w:pPr>
      <w:rPr>
        <w:rFonts w:cs="Arial" w:hAnsi="Arial" w:eastAsia="Arial" w:ascii="Arial"/>
        <w:vertAlign w:val="baseline"/>
      </w:rPr>
    </w:lvl>
    <w:lvl w:ilvl="5">
      <w:start w:val="1"/>
      <w:numFmt w:val="lowerRoman"/>
      <w:lvlText w:val="%6."/>
      <w:lvlJc w:val="right"/>
      <w:pPr>
        <w:ind w:left="4480" w:firstLine="4300"/>
      </w:pPr>
      <w:rPr>
        <w:rFonts w:cs="Arial" w:hAnsi="Arial" w:eastAsia="Arial" w:ascii="Arial"/>
        <w:vertAlign w:val="baseline"/>
      </w:rPr>
    </w:lvl>
    <w:lvl w:ilvl="6">
      <w:start w:val="1"/>
      <w:numFmt w:val="decimal"/>
      <w:lvlText w:val="%7."/>
      <w:lvlJc w:val="left"/>
      <w:pPr>
        <w:ind w:left="5200" w:firstLine="4840"/>
      </w:pPr>
      <w:rPr>
        <w:rFonts w:cs="Arial" w:hAnsi="Arial" w:eastAsia="Arial" w:ascii="Arial"/>
        <w:vertAlign w:val="baseline"/>
      </w:rPr>
    </w:lvl>
    <w:lvl w:ilvl="7">
      <w:start w:val="1"/>
      <w:numFmt w:val="lowerLetter"/>
      <w:lvlText w:val="%8."/>
      <w:lvlJc w:val="left"/>
      <w:pPr>
        <w:ind w:left="5920" w:firstLine="5560"/>
      </w:pPr>
      <w:rPr>
        <w:rFonts w:cs="Arial" w:hAnsi="Arial" w:eastAsia="Arial" w:ascii="Arial"/>
        <w:vertAlign w:val="baseline"/>
      </w:rPr>
    </w:lvl>
    <w:lvl w:ilvl="8">
      <w:start w:val="1"/>
      <w:numFmt w:val="lowerRoman"/>
      <w:lvlText w:val="%9."/>
      <w:lvlJc w:val="right"/>
      <w:pPr>
        <w:ind w:left="6640" w:firstLine="6460"/>
      </w:pPr>
      <w:rPr>
        <w:rFonts w:cs="Arial" w:hAnsi="Arial" w:eastAsia="Arial" w:asci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 Grade 4 Unit 2.docx</dc:title>
</cp:coreProperties>
</file>